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EC17" w14:textId="77777777" w:rsidR="00CA0BE8" w:rsidRDefault="00CA0BE8" w:rsidP="00CA0BE8">
      <w:r>
        <w:t>Vážené novinářky, vážení novináři,</w:t>
      </w:r>
    </w:p>
    <w:p w14:paraId="03F216A9" w14:textId="77777777" w:rsidR="00CA0BE8" w:rsidRDefault="00CA0BE8" w:rsidP="00CA0BE8"/>
    <w:p w14:paraId="795BFEDF" w14:textId="77777777" w:rsidR="00CA0BE8" w:rsidRDefault="00CA0BE8" w:rsidP="00CA0BE8">
      <w:r>
        <w:t xml:space="preserve">v příloze Vám zasíláme </w:t>
      </w:r>
      <w:r>
        <w:rPr>
          <w:b/>
          <w:bCs/>
          <w:u w:val="single"/>
        </w:rPr>
        <w:t>stanovisko Národní rozpočtové rady</w:t>
      </w:r>
      <w:r>
        <w:t xml:space="preserve"> k vývoji hospodaření sektoru veřejných institucí a k nastavení fiskální a rozpočtové politiky. Zároveň NRR na svém webu zveřejnila „</w:t>
      </w:r>
      <w:hyperlink r:id="rId5" w:history="1">
        <w:r>
          <w:rPr>
            <w:rStyle w:val="Hypertextovodkaz"/>
            <w:b/>
            <w:bCs/>
          </w:rPr>
          <w:t>kalkulačku veřejných příjmů</w:t>
        </w:r>
      </w:hyperlink>
      <w:r>
        <w:t>“, která umožňuje simulovat fiskální dopady změn daňového mixu v ČR.</w:t>
      </w:r>
    </w:p>
    <w:p w14:paraId="594DBB07" w14:textId="77777777" w:rsidR="00CA0BE8" w:rsidRDefault="00CA0BE8" w:rsidP="00CA0BE8"/>
    <w:p w14:paraId="160CEBDD" w14:textId="77777777" w:rsidR="00CA0BE8" w:rsidRDefault="00CA0BE8" w:rsidP="00CA0BE8">
      <w:r>
        <w:t>Ve stanovisku se mj. dočtete:</w:t>
      </w:r>
    </w:p>
    <w:p w14:paraId="08C13B7B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Vývoj hospodaření státního rozpočtu potvrzuje </w:t>
      </w:r>
      <w:r>
        <w:rPr>
          <w:rFonts w:eastAsia="Times New Roman"/>
          <w:b/>
          <w:bCs/>
        </w:rPr>
        <w:t>zpomalování růstu deficitu</w:t>
      </w:r>
      <w:r>
        <w:rPr>
          <w:rFonts w:eastAsia="Times New Roman"/>
        </w:rPr>
        <w:t xml:space="preserve"> ve srovnání s jarními měsíci.</w:t>
      </w:r>
    </w:p>
    <w:p w14:paraId="78138804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 srpnu MF ČR v odhadu daňových a pojistných příjmů poměrně významně </w:t>
      </w:r>
      <w:r>
        <w:rPr>
          <w:rFonts w:eastAsia="Times New Roman"/>
          <w:b/>
          <w:bCs/>
        </w:rPr>
        <w:t>zvýšilo očekávané příjmy</w:t>
      </w:r>
      <w:r>
        <w:rPr>
          <w:rFonts w:eastAsia="Times New Roman"/>
        </w:rPr>
        <w:t xml:space="preserve"> v letošním (+99 mld. Kč) i příštím roce (+61 mld. Kč). Důvodem tohoto kroku je mimo jiné vyšší než původně předpokládaný růst objemu mezd a platů v ekonomice.</w:t>
      </w:r>
    </w:p>
    <w:p w14:paraId="2055F359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Důsledkem výše uvedeného je zlepšení očekávaného salda hospodaření sektoru veřejných institucí za letošní rok z -8,8 % HDP na -7,7 %. Lze tedy předpokládat, že </w:t>
      </w:r>
      <w:r>
        <w:rPr>
          <w:rFonts w:eastAsia="Times New Roman"/>
          <w:b/>
          <w:bCs/>
        </w:rPr>
        <w:t>deficit státního rozpočtu by měl být nižší než schválených 500 mld. Kč.</w:t>
      </w:r>
    </w:p>
    <w:p w14:paraId="1C655468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Mírné zlepšení očekávaných strukturálních sald, jakož i zvýšení hodnoty nominálního HDP oddaluje možný rok kolize ukazatele dluhové kvóty s institutem dluhové brzdy (55 % HDP). Zatímco na základě minulých projekcí hrozilo, že k tomu dojde již v roce 2024, nyní by to bylo o dva až tři roky později. NRR to samozřejmě považuje za pozitivní, neboť se tak otevírá delší časový prostor pro konsolidační úsilí. </w:t>
      </w:r>
    </w:p>
    <w:p w14:paraId="7663E0A9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Dle provedených výpočtů je možné zabránit kolizi s dluhovou brzdou v budoucnu velmi mírným zvýšením každoročního konsolidačního úsilí, a to o přibližně 0,15 % HDP (tedy z 0,5 % HDP na 0,65 % HDP). NRR k tomuto doporučuje využít i zvýšené očekávané příjmy v roce 2022. Bohužel </w:t>
      </w:r>
      <w:r>
        <w:rPr>
          <w:rFonts w:eastAsia="Times New Roman"/>
          <w:b/>
          <w:bCs/>
        </w:rPr>
        <w:t>aktuální verze návrhu státního rozpočtu na rok 2022 počítá s deficitem ve výši 377 mld. Kč, kdy významný přírůstek očekávaných příjmů byl kompenzován dalším růstem výdajů</w:t>
      </w:r>
      <w:r>
        <w:rPr>
          <w:rFonts w:eastAsia="Times New Roman"/>
        </w:rPr>
        <w:t>. Zároveň zvolená výše deficitu znamená vyčerpání výdajového limitu odvozeného dle Zákona a že tedy rozsah konsolidace vyjádřený meziroční změnou strukturálního salda dosahuje pouze Zákonem stanovené minimální úrovně 0,5 % HDP (tedy 32 mld. Kč).</w:t>
      </w:r>
    </w:p>
    <w:p w14:paraId="70AEAD26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přes výše uvedené mírné zlepšení výhledu však NRR i nadále upozorňuje, že se č</w:t>
      </w:r>
      <w:r>
        <w:rPr>
          <w:rFonts w:eastAsia="Times New Roman"/>
          <w:b/>
          <w:bCs/>
        </w:rPr>
        <w:t>eské veřejné finance nachází ve významné strukturální nerovnováze, která není dominantně způsobena stabilizačními opatřeními přijatými v souvislostmi s epidemií COVID-19</w:t>
      </w:r>
      <w:r>
        <w:rPr>
          <w:rFonts w:eastAsia="Times New Roman"/>
        </w:rPr>
        <w:t>, ale trvalými změnami v nastavení daňových a výdajových politik.</w:t>
      </w:r>
    </w:p>
    <w:p w14:paraId="78359173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NRR upozorňuje, že se jedná o nerovnováhu, kterou nevyřeší hospodářský růst. Bude nutné provést významné úpravy jak na příjmové, tak i výdajové straně. Bohužel v současné debatě ve veřejném prostoru se objevují pouze kosmetické návrhy s fiskálním dopadem v rozsahu jednotek, maximálně desítek mld. Kč, případně se jedná o návrhy značně nekonkrétní.</w:t>
      </w:r>
    </w:p>
    <w:p w14:paraId="3A19D25A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 ilustraci, jak by musely být upraveny hlavní parametry nejvýznamnějších daní, aby došlo k významné redukci deficitu, NRR zveřejnila „kalkulačku daňových příjmů“ dostupnou na webu ÚNRR</w:t>
      </w:r>
      <w:r>
        <w:rPr>
          <w:rFonts w:eastAsia="Times New Roman"/>
        </w:rPr>
        <w:t xml:space="preserve">: </w:t>
      </w:r>
      <w:hyperlink r:id="rId6" w:history="1">
        <w:r>
          <w:rPr>
            <w:rStyle w:val="Hypertextovodkaz"/>
            <w:rFonts w:eastAsia="Times New Roman"/>
          </w:rPr>
          <w:t>https://unrr.cz/wp-content/uploads/2021/09/KVP_UNRR_2021.xlsx</w:t>
        </w:r>
      </w:hyperlink>
    </w:p>
    <w:p w14:paraId="0BA79DFE" w14:textId="77777777" w:rsidR="00CA0BE8" w:rsidRDefault="00CA0BE8" w:rsidP="00CA0BE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„Kalkulačka veřejných příjmů“ je jednoduchým nástrojem, který </w:t>
      </w:r>
      <w:r>
        <w:rPr>
          <w:rFonts w:eastAsia="Times New Roman"/>
          <w:b/>
          <w:bCs/>
        </w:rPr>
        <w:t>umožňuje rámcově simulovat očekávané fiskální dopady změn v nastavení hlavních parametrů nejvýznamnějších daní/pojistného</w:t>
      </w:r>
      <w:r>
        <w:rPr>
          <w:rFonts w:eastAsia="Times New Roman"/>
        </w:rPr>
        <w:t xml:space="preserve"> v České republice. Jeho účelem je přispět k racionalizaci debaty o případných úpravách daňového mixu v České republice, kterou si vysoké deficity veřejných financí pravděpodobně vyžádají. Více informací naleznete v příloze.</w:t>
      </w:r>
    </w:p>
    <w:p w14:paraId="3864BDD7" w14:textId="77777777" w:rsidR="00CA0BE8" w:rsidRDefault="00CA0BE8" w:rsidP="00CA0BE8"/>
    <w:p w14:paraId="0BD3AD29" w14:textId="77777777" w:rsidR="00CA0BE8" w:rsidRDefault="00CA0BE8" w:rsidP="00CA0BE8"/>
    <w:p w14:paraId="52A6BF62" w14:textId="77777777" w:rsidR="00CA0BE8" w:rsidRDefault="00CA0BE8" w:rsidP="00CA0BE8"/>
    <w:p w14:paraId="6208E2FF" w14:textId="77777777" w:rsidR="00CA0BE8" w:rsidRDefault="00CA0BE8" w:rsidP="00CA0BE8">
      <w:r>
        <w:t>S pozdravem a přáním hezkého dne,</w:t>
      </w:r>
    </w:p>
    <w:p w14:paraId="09F94D05" w14:textId="6CDA099D" w:rsidR="00CA0BE8" w:rsidRDefault="00CA0BE8" w:rsidP="00CA0BE8">
      <w:pPr>
        <w:spacing w:before="100" w:beforeAutospacing="1" w:after="100" w:afterAutospacing="1"/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274F12C" wp14:editId="478FA5D7">
            <wp:extent cx="1874520" cy="1074420"/>
            <wp:effectExtent l="0" t="0" r="11430" b="1143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8060" w14:textId="77777777" w:rsidR="00CA0BE8" w:rsidRDefault="00CA0BE8" w:rsidP="00CA0BE8">
      <w:pPr>
        <w:rPr>
          <w:lang w:eastAsia="cs-CZ"/>
        </w:rPr>
      </w:pPr>
      <w:r>
        <w:rPr>
          <w:b/>
          <w:bCs/>
          <w:color w:val="000000"/>
          <w:lang w:eastAsia="cs-CZ"/>
        </w:rPr>
        <w:t xml:space="preserve">Bc. </w:t>
      </w:r>
      <w:r>
        <w:rPr>
          <w:b/>
          <w:bCs/>
          <w:lang w:eastAsia="cs-CZ"/>
        </w:rPr>
        <w:t>Jana Hricová</w:t>
      </w:r>
    </w:p>
    <w:p w14:paraId="46A5A842" w14:textId="77777777" w:rsidR="00CA0BE8" w:rsidRDefault="00CA0BE8" w:rsidP="00CA0BE8">
      <w:pPr>
        <w:rPr>
          <w:lang w:eastAsia="cs-CZ"/>
        </w:rPr>
      </w:pPr>
      <w:r>
        <w:rPr>
          <w:lang w:eastAsia="cs-CZ"/>
        </w:rPr>
        <w:t>tisková mluvčí</w:t>
      </w:r>
    </w:p>
    <w:p w14:paraId="5C34CD75" w14:textId="77777777" w:rsidR="00CA0BE8" w:rsidRDefault="00CA0BE8" w:rsidP="00CA0BE8">
      <w:pPr>
        <w:rPr>
          <w:lang w:eastAsia="cs-CZ"/>
        </w:rPr>
      </w:pPr>
      <w:hyperlink r:id="rId9" w:tgtFrame="_blank" w:history="1">
        <w:r>
          <w:rPr>
            <w:rStyle w:val="Hypertextovodkaz"/>
            <w:color w:val="0000FF"/>
            <w:lang w:eastAsia="cs-CZ"/>
          </w:rPr>
          <w:t>media@unrr.cz</w:t>
        </w:r>
      </w:hyperlink>
      <w:r>
        <w:rPr>
          <w:color w:val="000000"/>
          <w:lang w:eastAsia="cs-CZ"/>
        </w:rPr>
        <w:t> </w:t>
      </w:r>
      <w:r>
        <w:rPr>
          <w:lang w:eastAsia="cs-CZ"/>
        </w:rPr>
        <w:t xml:space="preserve"> </w:t>
      </w:r>
      <w:r>
        <w:rPr>
          <w:b/>
          <w:bCs/>
          <w:color w:val="0B5394"/>
          <w:lang w:eastAsia="cs-CZ"/>
        </w:rPr>
        <w:t> | </w:t>
      </w:r>
      <w:r>
        <w:rPr>
          <w:lang w:eastAsia="cs-CZ"/>
        </w:rPr>
        <w:t>  </w:t>
      </w:r>
      <w:r>
        <w:rPr>
          <w:color w:val="000000"/>
          <w:lang w:eastAsia="cs-CZ"/>
        </w:rPr>
        <w:t>+420</w:t>
      </w:r>
      <w:r>
        <w:rPr>
          <w:lang w:eastAsia="cs-CZ"/>
        </w:rPr>
        <w:t> 774 370 366</w:t>
      </w:r>
    </w:p>
    <w:p w14:paraId="70BAE767" w14:textId="77777777" w:rsidR="00CA0BE8" w:rsidRDefault="00CA0BE8" w:rsidP="00CA0BE8">
      <w:pPr>
        <w:rPr>
          <w:lang w:eastAsia="cs-CZ"/>
        </w:rPr>
      </w:pPr>
      <w:r>
        <w:rPr>
          <w:color w:val="000000"/>
          <w:lang w:eastAsia="cs-CZ"/>
        </w:rPr>
        <w:t>Úřad Národní rozpočtové rady</w:t>
      </w:r>
      <w:r>
        <w:rPr>
          <w:b/>
          <w:bCs/>
          <w:lang w:eastAsia="cs-CZ"/>
        </w:rPr>
        <w:t xml:space="preserve"> </w:t>
      </w:r>
      <w:r>
        <w:rPr>
          <w:b/>
          <w:bCs/>
          <w:color w:val="0B5394"/>
          <w:lang w:eastAsia="cs-CZ"/>
        </w:rPr>
        <w:t> |  </w:t>
      </w:r>
      <w:r>
        <w:rPr>
          <w:color w:val="000000"/>
          <w:lang w:eastAsia="cs-CZ"/>
        </w:rPr>
        <w:t>Holečkova 103/31, 150 00  Praha 5</w:t>
      </w:r>
      <w:r>
        <w:rPr>
          <w:lang w:eastAsia="cs-CZ"/>
        </w:rPr>
        <w:t xml:space="preserve">  </w:t>
      </w:r>
      <w:r>
        <w:rPr>
          <w:b/>
          <w:bCs/>
          <w:color w:val="0B5394"/>
          <w:lang w:eastAsia="cs-CZ"/>
        </w:rPr>
        <w:t> |  </w:t>
      </w:r>
      <w:r>
        <w:rPr>
          <w:lang w:eastAsia="cs-CZ"/>
        </w:rPr>
        <w:t> </w:t>
      </w:r>
      <w:hyperlink r:id="rId10" w:tgtFrame="_blank" w:history="1">
        <w:r>
          <w:rPr>
            <w:rStyle w:val="Hypertextovodkaz"/>
            <w:color w:val="0000FF"/>
            <w:lang w:eastAsia="cs-CZ"/>
          </w:rPr>
          <w:t>www.unrr.cz</w:t>
        </w:r>
      </w:hyperlink>
    </w:p>
    <w:p w14:paraId="28EC5CDB" w14:textId="77777777" w:rsidR="00EC6532" w:rsidRDefault="00CA0BE8"/>
    <w:sectPr w:rsidR="00E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5C4E"/>
    <w:multiLevelType w:val="hybridMultilevel"/>
    <w:tmpl w:val="CB948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E8"/>
    <w:rsid w:val="00AE22B7"/>
    <w:rsid w:val="00CA0BE8"/>
    <w:rsid w:val="00E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73A9"/>
  <w15:chartTrackingRefBased/>
  <w15:docId w15:val="{1EAFE5CA-6C5E-4E20-B670-64061608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B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0BE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A0B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9FD7.FACAD1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rr.cz/wp-content/uploads/2021/09/KVP_UNRR_2021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rr.cz/wp-content/uploads/2021/09/KVP_UNRR_2021.xlsx" TargetMode="External"/><Relationship Id="rId10" Type="http://schemas.openxmlformats.org/officeDocument/2006/relationships/hyperlink" Target="http://www.unr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s.aliapulios@un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Jana</dc:creator>
  <cp:keywords/>
  <dc:description/>
  <cp:lastModifiedBy>Hricová Jana</cp:lastModifiedBy>
  <cp:revision>1</cp:revision>
  <dcterms:created xsi:type="dcterms:W3CDTF">2021-11-18T14:23:00Z</dcterms:created>
  <dcterms:modified xsi:type="dcterms:W3CDTF">2021-11-18T14:23:00Z</dcterms:modified>
</cp:coreProperties>
</file>